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1081">
      <w:pPr>
        <w:jc w:val="center"/>
        <w:rPr>
          <w:rFonts w:hint="eastAsia" w:ascii="宋体" w:hAnsi="宋体" w:eastAsia="宋体"/>
          <w:b/>
          <w:bCs/>
          <w:sz w:val="32"/>
          <w:szCs w:val="32"/>
          <w:lang w:eastAsia="zh-CN"/>
        </w:rPr>
      </w:pPr>
      <w:bookmarkStart w:id="0" w:name="_GoBack"/>
      <w:r>
        <w:rPr>
          <w:rFonts w:hint="eastAsia" w:ascii="宋体" w:hAnsi="宋体" w:eastAsia="宋体"/>
          <w:b/>
          <w:bCs/>
          <w:sz w:val="32"/>
          <w:szCs w:val="32"/>
        </w:rPr>
        <w:t>赤峰市肿瘤医院放射线设备辐射安全检测与年度报告编写服务项目</w:t>
      </w:r>
      <w:r>
        <w:rPr>
          <w:rFonts w:hint="eastAsia" w:ascii="宋体" w:hAnsi="宋体" w:eastAsia="宋体"/>
          <w:b/>
          <w:bCs/>
          <w:sz w:val="32"/>
          <w:szCs w:val="32"/>
          <w:lang w:eastAsia="zh-CN"/>
        </w:rPr>
        <w:t>技术要求</w:t>
      </w:r>
    </w:p>
    <w:bookmarkEnd w:id="0"/>
    <w:p w14:paraId="202113A6">
      <w:pPr>
        <w:rPr>
          <w:rFonts w:ascii="宋体" w:hAnsi="宋体" w:eastAsia="宋体"/>
          <w:sz w:val="24"/>
          <w:szCs w:val="24"/>
        </w:rPr>
      </w:pPr>
    </w:p>
    <w:p w14:paraId="25FB1AFE">
      <w:pPr>
        <w:rPr>
          <w:rFonts w:ascii="宋体" w:hAnsi="宋体" w:eastAsia="宋体"/>
          <w:b/>
          <w:sz w:val="24"/>
          <w:szCs w:val="24"/>
        </w:rPr>
      </w:pPr>
      <w:r>
        <w:rPr>
          <w:rFonts w:hint="eastAsia" w:ascii="宋体" w:hAnsi="宋体" w:eastAsia="宋体"/>
          <w:b/>
          <w:sz w:val="24"/>
          <w:szCs w:val="24"/>
        </w:rPr>
        <w:t>一、供应商的资格要求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24"/>
      </w:tblGrid>
      <w:tr w14:paraId="21E3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1CC3C705">
            <w:pPr>
              <w:rPr>
                <w:rFonts w:hint="eastAsia" w:ascii="宋体" w:hAnsi="宋体" w:eastAsia="宋体"/>
                <w:sz w:val="24"/>
                <w:szCs w:val="24"/>
              </w:rPr>
            </w:pPr>
            <w:r>
              <w:rPr>
                <w:rFonts w:ascii="宋体" w:hAnsi="宋体" w:eastAsia="宋体"/>
                <w:sz w:val="24"/>
                <w:szCs w:val="24"/>
              </w:rPr>
              <w:t>1.具有独立承担民事责</w:t>
            </w:r>
            <w:r>
              <w:rPr>
                <w:rFonts w:hint="eastAsia" w:ascii="宋体" w:hAnsi="宋体" w:eastAsia="宋体"/>
                <w:sz w:val="24"/>
                <w:szCs w:val="24"/>
              </w:rPr>
              <w:t>任的能力</w:t>
            </w:r>
          </w:p>
        </w:tc>
        <w:tc>
          <w:tcPr>
            <w:tcW w:w="5324" w:type="dxa"/>
          </w:tcPr>
          <w:p w14:paraId="16EDC56D">
            <w:pPr>
              <w:rPr>
                <w:rFonts w:hint="eastAsia" w:ascii="宋体" w:hAnsi="宋体" w:eastAsia="宋体"/>
                <w:sz w:val="24"/>
                <w:szCs w:val="24"/>
              </w:rPr>
            </w:pPr>
            <w:r>
              <w:rPr>
                <w:rFonts w:hint="eastAsia" w:ascii="宋体" w:hAnsi="宋体" w:eastAsia="宋体"/>
                <w:sz w:val="24"/>
                <w:szCs w:val="24"/>
              </w:rPr>
              <w:t>审查供应商有效的营业执照或事业单位法人证书或执业许可证或自然人的身份证明。</w:t>
            </w:r>
          </w:p>
        </w:tc>
      </w:tr>
      <w:tr w14:paraId="62C4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BF67A3E">
            <w:pPr>
              <w:rPr>
                <w:rFonts w:hint="eastAsia" w:ascii="宋体" w:hAnsi="宋体" w:eastAsia="宋体"/>
                <w:sz w:val="24"/>
                <w:szCs w:val="24"/>
              </w:rPr>
            </w:pPr>
            <w:r>
              <w:rPr>
                <w:rFonts w:ascii="宋体" w:hAnsi="宋体" w:eastAsia="宋体"/>
                <w:sz w:val="24"/>
                <w:szCs w:val="24"/>
              </w:rPr>
              <w:t>2.具有良好的商业信誉</w:t>
            </w:r>
            <w:r>
              <w:rPr>
                <w:rFonts w:hint="eastAsia" w:ascii="宋体" w:hAnsi="宋体" w:eastAsia="宋体"/>
                <w:sz w:val="24"/>
                <w:szCs w:val="24"/>
              </w:rPr>
              <w:t>和健全的财务会计制度</w:t>
            </w:r>
          </w:p>
        </w:tc>
        <w:tc>
          <w:tcPr>
            <w:tcW w:w="5324" w:type="dxa"/>
          </w:tcPr>
          <w:p w14:paraId="6E52602B">
            <w:pPr>
              <w:rPr>
                <w:rFonts w:hint="eastAsia" w:ascii="宋体" w:hAnsi="宋体" w:eastAsia="宋体"/>
                <w:sz w:val="24"/>
                <w:szCs w:val="24"/>
              </w:rPr>
            </w:pPr>
            <w:r>
              <w:rPr>
                <w:rFonts w:hint="eastAsia" w:ascii="宋体" w:hAnsi="宋体" w:eastAsia="宋体"/>
                <w:sz w:val="24"/>
                <w:szCs w:val="24"/>
              </w:rPr>
              <w:t>审查投标人</w:t>
            </w:r>
            <w:r>
              <w:rPr>
                <w:rFonts w:ascii="宋体" w:hAnsi="宋体" w:eastAsia="宋体"/>
                <w:sz w:val="24"/>
                <w:szCs w:val="24"/>
              </w:rPr>
              <w:t xml:space="preserve"> 2023 或 2024 年度经会计师事务所出具的财务</w:t>
            </w:r>
            <w:r>
              <w:rPr>
                <w:rFonts w:hint="eastAsia" w:ascii="宋体" w:hAnsi="宋体" w:eastAsia="宋体"/>
                <w:sz w:val="24"/>
                <w:szCs w:val="24"/>
              </w:rPr>
              <w:t>审计报告或其基本开户银行出具的近一年内的银行资信证明。</w:t>
            </w:r>
          </w:p>
        </w:tc>
      </w:tr>
      <w:tr w14:paraId="57B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622ACE4">
            <w:pPr>
              <w:rPr>
                <w:rFonts w:hint="eastAsia" w:ascii="宋体" w:hAnsi="宋体" w:eastAsia="宋体"/>
                <w:sz w:val="24"/>
                <w:szCs w:val="24"/>
              </w:rPr>
            </w:pPr>
            <w:r>
              <w:rPr>
                <w:rFonts w:ascii="宋体" w:hAnsi="宋体" w:eastAsia="宋体"/>
                <w:sz w:val="24"/>
                <w:szCs w:val="24"/>
              </w:rPr>
              <w:t>3.有依法缴纳税收和社</w:t>
            </w:r>
            <w:r>
              <w:rPr>
                <w:rFonts w:hint="eastAsia" w:ascii="宋体" w:hAnsi="宋体" w:eastAsia="宋体"/>
                <w:sz w:val="24"/>
                <w:szCs w:val="24"/>
              </w:rPr>
              <w:t>会保障资金的良好记录</w:t>
            </w:r>
          </w:p>
        </w:tc>
        <w:tc>
          <w:tcPr>
            <w:tcW w:w="5324" w:type="dxa"/>
          </w:tcPr>
          <w:p w14:paraId="59CA23D7">
            <w:pPr>
              <w:rPr>
                <w:rFonts w:ascii="宋体" w:hAnsi="宋体" w:eastAsia="宋体"/>
                <w:sz w:val="24"/>
                <w:szCs w:val="24"/>
              </w:rPr>
            </w:pPr>
            <w:r>
              <w:rPr>
                <w:rFonts w:hint="eastAsia" w:ascii="宋体" w:hAnsi="宋体" w:eastAsia="宋体"/>
                <w:sz w:val="24"/>
                <w:szCs w:val="24"/>
              </w:rPr>
              <w:t>①提供递交响应文件截止之日前一年内（至少一个月）的</w:t>
            </w:r>
          </w:p>
          <w:p w14:paraId="3E8ABAC4">
            <w:pPr>
              <w:rPr>
                <w:rFonts w:ascii="宋体" w:hAnsi="宋体" w:eastAsia="宋体"/>
                <w:sz w:val="24"/>
                <w:szCs w:val="24"/>
              </w:rPr>
            </w:pPr>
            <w:r>
              <w:rPr>
                <w:rFonts w:hint="eastAsia" w:ascii="宋体" w:hAnsi="宋体" w:eastAsia="宋体"/>
                <w:sz w:val="24"/>
                <w:szCs w:val="24"/>
              </w:rPr>
              <w:t>良好缴纳税收的相关凭据。（以税务机关提供的纳税凭据或银行入账单为准）</w:t>
            </w:r>
          </w:p>
          <w:p w14:paraId="52317875">
            <w:pPr>
              <w:rPr>
                <w:rFonts w:ascii="宋体" w:hAnsi="宋体" w:eastAsia="宋体"/>
                <w:sz w:val="24"/>
                <w:szCs w:val="24"/>
              </w:rPr>
            </w:pPr>
            <w:r>
              <w:rPr>
                <w:rFonts w:hint="eastAsia" w:ascii="宋体" w:hAnsi="宋体" w:eastAsia="宋体"/>
                <w:sz w:val="24"/>
                <w:szCs w:val="24"/>
              </w:rPr>
              <w:t>②提供递交响应文件截止之日前一年内（至少一个月）缴</w:t>
            </w:r>
          </w:p>
          <w:p w14:paraId="14326557">
            <w:pPr>
              <w:rPr>
                <w:rFonts w:ascii="宋体" w:hAnsi="宋体" w:eastAsia="宋体"/>
                <w:sz w:val="24"/>
                <w:szCs w:val="24"/>
              </w:rPr>
            </w:pPr>
            <w:r>
              <w:rPr>
                <w:rFonts w:hint="eastAsia" w:ascii="宋体" w:hAnsi="宋体" w:eastAsia="宋体"/>
                <w:sz w:val="24"/>
                <w:szCs w:val="24"/>
              </w:rPr>
              <w:t>纳社会保险的凭证。（以专用收据或社会保险缴纳清单为</w:t>
            </w:r>
          </w:p>
          <w:p w14:paraId="1335221C">
            <w:pPr>
              <w:rPr>
                <w:rFonts w:hint="eastAsia" w:ascii="宋体" w:hAnsi="宋体" w:eastAsia="宋体"/>
                <w:sz w:val="24"/>
                <w:szCs w:val="24"/>
              </w:rPr>
            </w:pPr>
            <w:r>
              <w:rPr>
                <w:rFonts w:hint="eastAsia" w:ascii="宋体" w:hAnsi="宋体" w:eastAsia="宋体"/>
                <w:sz w:val="24"/>
                <w:szCs w:val="24"/>
              </w:rPr>
              <w:t>准）</w:t>
            </w:r>
            <w:r>
              <w:rPr>
                <w:rFonts w:ascii="宋体" w:hAnsi="宋体" w:eastAsia="宋体"/>
                <w:sz w:val="24"/>
                <w:szCs w:val="24"/>
              </w:rPr>
              <w:t xml:space="preserve"> 注：其他组织和自然人也需要提供缴纳税收的凭据金</w:t>
            </w:r>
            <w:r>
              <w:rPr>
                <w:rFonts w:hint="eastAsia" w:ascii="宋体" w:hAnsi="宋体" w:eastAsia="宋体"/>
                <w:sz w:val="24"/>
                <w:szCs w:val="24"/>
              </w:rPr>
              <w:t>额缴纳社保的凭据。依法免税或不需要缴纳社会保障资金的供应商，应提供相应文件证明其依法免税或不需要缴纳社会保障资金。</w:t>
            </w:r>
          </w:p>
        </w:tc>
      </w:tr>
      <w:tr w14:paraId="18E1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4777709">
            <w:pPr>
              <w:rPr>
                <w:rFonts w:hint="eastAsia" w:ascii="宋体" w:hAnsi="宋体" w:eastAsia="宋体"/>
                <w:sz w:val="24"/>
                <w:szCs w:val="24"/>
              </w:rPr>
            </w:pPr>
            <w:r>
              <w:rPr>
                <w:rFonts w:ascii="宋体" w:hAnsi="宋体" w:eastAsia="宋体"/>
                <w:sz w:val="24"/>
                <w:szCs w:val="24"/>
              </w:rPr>
              <w:t>4.具有履行合同所必须</w:t>
            </w:r>
            <w:r>
              <w:rPr>
                <w:rFonts w:hint="eastAsia" w:ascii="宋体" w:hAnsi="宋体" w:eastAsia="宋体"/>
                <w:sz w:val="24"/>
                <w:szCs w:val="24"/>
              </w:rPr>
              <w:t>的设备和专业技术能力</w:t>
            </w:r>
          </w:p>
        </w:tc>
        <w:tc>
          <w:tcPr>
            <w:tcW w:w="5324" w:type="dxa"/>
          </w:tcPr>
          <w:p w14:paraId="18881511">
            <w:pPr>
              <w:tabs>
                <w:tab w:val="left" w:pos="1322"/>
              </w:tabs>
              <w:rPr>
                <w:rFonts w:hint="eastAsia" w:ascii="宋体" w:hAnsi="宋体" w:eastAsia="宋体"/>
                <w:sz w:val="24"/>
                <w:szCs w:val="24"/>
              </w:rPr>
            </w:pPr>
            <w:r>
              <w:rPr>
                <w:rFonts w:hint="eastAsia" w:ascii="宋体" w:hAnsi="宋体" w:eastAsia="宋体"/>
                <w:sz w:val="24"/>
                <w:szCs w:val="24"/>
              </w:rPr>
              <w:t>审查供应商出具的“具有履行合同所必须的设备和专业技术能力”声明。（格式自拟）</w:t>
            </w:r>
          </w:p>
        </w:tc>
      </w:tr>
      <w:tr w14:paraId="21B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43D8AFC">
            <w:pPr>
              <w:rPr>
                <w:rFonts w:hint="eastAsia" w:ascii="宋体" w:hAnsi="宋体" w:eastAsia="宋体"/>
                <w:sz w:val="24"/>
                <w:szCs w:val="24"/>
              </w:rPr>
            </w:pPr>
            <w:r>
              <w:rPr>
                <w:rFonts w:ascii="宋体" w:hAnsi="宋体" w:eastAsia="宋体"/>
                <w:sz w:val="24"/>
                <w:szCs w:val="24"/>
              </w:rPr>
              <w:t>5.参加采购活动前 3 年</w:t>
            </w:r>
            <w:r>
              <w:rPr>
                <w:rFonts w:hint="eastAsia" w:ascii="宋体" w:hAnsi="宋体" w:eastAsia="宋体"/>
                <w:sz w:val="24"/>
                <w:szCs w:val="24"/>
              </w:rPr>
              <w:t>内，在经营活动中没有重大违法记录</w:t>
            </w:r>
          </w:p>
        </w:tc>
        <w:tc>
          <w:tcPr>
            <w:tcW w:w="5324" w:type="dxa"/>
          </w:tcPr>
          <w:p w14:paraId="6BB17F51">
            <w:pPr>
              <w:rPr>
                <w:rFonts w:hint="eastAsia" w:ascii="宋体" w:hAnsi="宋体" w:eastAsia="宋体"/>
                <w:sz w:val="24"/>
                <w:szCs w:val="24"/>
              </w:rPr>
            </w:pPr>
            <w:r>
              <w:rPr>
                <w:rFonts w:hint="eastAsia" w:ascii="宋体" w:hAnsi="宋体" w:eastAsia="宋体"/>
                <w:sz w:val="24"/>
                <w:szCs w:val="24"/>
              </w:rPr>
              <w:t>审查参加政府采购前三年内在经营活动中无重大违法记录书面声明。</w:t>
            </w:r>
          </w:p>
        </w:tc>
      </w:tr>
      <w:tr w14:paraId="2D5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27BE124">
            <w:pPr>
              <w:rPr>
                <w:rFonts w:hint="eastAsia" w:ascii="宋体" w:hAnsi="宋体" w:eastAsia="宋体"/>
                <w:sz w:val="24"/>
                <w:szCs w:val="24"/>
              </w:rPr>
            </w:pPr>
            <w:r>
              <w:rPr>
                <w:rFonts w:ascii="宋体" w:hAnsi="宋体" w:eastAsia="宋体"/>
                <w:sz w:val="24"/>
                <w:szCs w:val="24"/>
              </w:rPr>
              <w:t>6.信用记录</w:t>
            </w:r>
          </w:p>
        </w:tc>
        <w:tc>
          <w:tcPr>
            <w:tcW w:w="5324" w:type="dxa"/>
          </w:tcPr>
          <w:p w14:paraId="67E1C19A">
            <w:pPr>
              <w:wordWrap w:val="0"/>
              <w:rPr>
                <w:rFonts w:ascii="宋体" w:hAnsi="宋体" w:eastAsia="宋体"/>
                <w:sz w:val="24"/>
                <w:szCs w:val="24"/>
              </w:rPr>
            </w:pPr>
            <w:r>
              <w:rPr>
                <w:rFonts w:hint="eastAsia" w:ascii="宋体" w:hAnsi="宋体" w:eastAsia="宋体"/>
                <w:sz w:val="24"/>
                <w:szCs w:val="24"/>
              </w:rPr>
              <w:t>到提交响应文件的截止时间，供应商未被列入“信用中国”</w:t>
            </w:r>
          </w:p>
          <w:p w14:paraId="79A70CD9">
            <w:pPr>
              <w:wordWrap w:val="0"/>
              <w:rPr>
                <w:rFonts w:hint="eastAsia" w:ascii="宋体" w:hAnsi="宋体" w:eastAsia="宋体"/>
                <w:sz w:val="24"/>
                <w:szCs w:val="24"/>
              </w:rPr>
            </w:pPr>
            <w:r>
              <w:rPr>
                <w:rFonts w:hint="eastAsia" w:ascii="宋体" w:hAnsi="宋体" w:eastAsia="宋体"/>
                <w:sz w:val="24"/>
                <w:szCs w:val="24"/>
              </w:rPr>
              <w:t>网站</w:t>
            </w:r>
            <w:r>
              <w:rPr>
                <w:rFonts w:ascii="宋体" w:hAnsi="宋体" w:eastAsia="宋体"/>
                <w:sz w:val="24"/>
                <w:szCs w:val="24"/>
              </w:rPr>
              <w:t>(www.creditchina.gov.cn 及其链接zxgk.court.gov.cn/shixin)失信被执行人、重大税收违法</w:t>
            </w:r>
            <w:r>
              <w:rPr>
                <w:rFonts w:hint="eastAsia" w:ascii="宋体" w:hAnsi="宋体" w:eastAsia="宋体"/>
                <w:sz w:val="24"/>
                <w:szCs w:val="24"/>
              </w:rPr>
              <w:t>失信主体、政府采购严重违法失信行为记录名单。</w:t>
            </w:r>
          </w:p>
        </w:tc>
      </w:tr>
      <w:tr w14:paraId="5313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0ADF350">
            <w:pPr>
              <w:rPr>
                <w:rFonts w:hint="eastAsia" w:ascii="宋体" w:hAnsi="宋体" w:eastAsia="宋体"/>
                <w:sz w:val="24"/>
                <w:szCs w:val="24"/>
              </w:rPr>
            </w:pPr>
            <w:r>
              <w:rPr>
                <w:rFonts w:ascii="宋体" w:hAnsi="宋体" w:eastAsia="宋体"/>
                <w:sz w:val="24"/>
                <w:szCs w:val="24"/>
              </w:rPr>
              <w:t>7.特定资格</w:t>
            </w:r>
          </w:p>
        </w:tc>
        <w:tc>
          <w:tcPr>
            <w:tcW w:w="5324" w:type="dxa"/>
          </w:tcPr>
          <w:p w14:paraId="3EAFEEA6">
            <w:pPr>
              <w:rPr>
                <w:rFonts w:hint="eastAsia" w:ascii="宋体" w:hAnsi="宋体" w:eastAsia="宋体"/>
                <w:sz w:val="24"/>
                <w:szCs w:val="24"/>
              </w:rPr>
            </w:pPr>
            <w:r>
              <w:rPr>
                <w:rFonts w:hint="eastAsia" w:ascii="宋体" w:hAnsi="宋体" w:eastAsia="宋体"/>
                <w:sz w:val="24"/>
                <w:szCs w:val="24"/>
              </w:rPr>
              <w:t>供应商须具有有效的检验检测机构资质认定证书。</w:t>
            </w:r>
          </w:p>
        </w:tc>
      </w:tr>
    </w:tbl>
    <w:p w14:paraId="18AA019B">
      <w:pPr>
        <w:spacing w:line="360" w:lineRule="auto"/>
        <w:rPr>
          <w:rFonts w:ascii="宋体" w:hAnsi="宋体" w:eastAsia="宋体"/>
          <w:b/>
          <w:bCs/>
          <w:sz w:val="24"/>
          <w:szCs w:val="24"/>
        </w:rPr>
      </w:pPr>
      <w:r>
        <w:rPr>
          <w:rFonts w:hint="eastAsia" w:ascii="宋体" w:hAnsi="宋体" w:eastAsia="宋体"/>
          <w:b/>
          <w:bCs/>
          <w:sz w:val="24"/>
          <w:szCs w:val="24"/>
        </w:rPr>
        <w:t>二．服务内容：</w:t>
      </w:r>
      <w:r>
        <w:rPr>
          <w:rFonts w:hint="eastAsia" w:ascii="宋体" w:hAnsi="宋体" w:eastAsia="宋体"/>
          <w:bCs/>
          <w:sz w:val="24"/>
          <w:szCs w:val="24"/>
        </w:rPr>
        <w:t xml:space="preserve">  </w:t>
      </w:r>
    </w:p>
    <w:p w14:paraId="091EC702">
      <w:pPr>
        <w:spacing w:line="360" w:lineRule="auto"/>
        <w:ind w:firstLine="480" w:firstLineChars="200"/>
        <w:rPr>
          <w:rFonts w:ascii="宋体" w:hAnsi="宋体" w:eastAsia="宋体"/>
          <w:color w:val="000000"/>
          <w:sz w:val="24"/>
          <w:szCs w:val="24"/>
          <w:lang w:val="zh-TW" w:eastAsia="zh-TW" w:bidi="zh-TW"/>
        </w:rPr>
      </w:pPr>
      <w:r>
        <w:rPr>
          <w:rFonts w:hint="eastAsia" w:ascii="宋体" w:hAnsi="宋体" w:eastAsia="宋体"/>
          <w:color w:val="000000"/>
          <w:sz w:val="24"/>
          <w:szCs w:val="24"/>
          <w:lang w:val="zh-TW" w:bidi="zh-TW"/>
        </w:rPr>
        <w:t>1、</w:t>
      </w:r>
      <w:r>
        <w:rPr>
          <w:rFonts w:hint="eastAsia" w:ascii="宋体" w:hAnsi="宋体" w:eastAsia="宋体"/>
          <w:color w:val="000000"/>
          <w:sz w:val="24"/>
          <w:szCs w:val="24"/>
          <w:lang w:val="zh-TW" w:eastAsia="zh-TW" w:bidi="zh-TW"/>
        </w:rPr>
        <w:t>检测项目</w:t>
      </w:r>
    </w:p>
    <w:p w14:paraId="7F6B4EC7">
      <w:pPr>
        <w:spacing w:line="360" w:lineRule="auto"/>
        <w:ind w:firstLine="480" w:firstLineChars="200"/>
        <w:rPr>
          <w:rFonts w:ascii="宋体" w:hAnsi="宋体" w:eastAsia="宋体"/>
          <w:color w:val="000000"/>
          <w:sz w:val="24"/>
          <w:szCs w:val="24"/>
          <w:lang w:val="zh-TW" w:eastAsia="zh-TW" w:bidi="zh-TW"/>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1） 射线装置机房外的</w:t>
      </w:r>
      <w:r>
        <w:rPr>
          <w:rFonts w:hint="eastAsia" w:ascii="宋体" w:hAnsi="宋体" w:eastAsia="宋体"/>
          <w:color w:val="000000"/>
          <w:sz w:val="24"/>
          <w:szCs w:val="24"/>
          <w:lang w:val="zh-TW" w:eastAsia="zh-TW" w:bidi="zh-TW"/>
        </w:rPr>
        <w:t>γ</w:t>
      </w:r>
      <w:r>
        <w:rPr>
          <w:rFonts w:ascii="宋体" w:hAnsi="宋体" w:eastAsia="宋体"/>
          <w:color w:val="000000"/>
          <w:sz w:val="24"/>
          <w:szCs w:val="24"/>
          <w:lang w:val="zh-TW" w:eastAsia="zh-TW" w:bidi="zh-TW"/>
        </w:rPr>
        <w:t>辐射空气吸收剂量率、X 辐射剂量率、中子当量剂量率检</w:t>
      </w:r>
      <w:r>
        <w:rPr>
          <w:rFonts w:hint="eastAsia" w:ascii="宋体" w:hAnsi="宋体" w:eastAsia="宋体"/>
          <w:color w:val="000000"/>
          <w:sz w:val="24"/>
          <w:szCs w:val="24"/>
          <w:lang w:val="zh-TW" w:eastAsia="zh-TW" w:bidi="zh-TW"/>
        </w:rPr>
        <w:t>测。</w:t>
      </w:r>
    </w:p>
    <w:p w14:paraId="53CBCCBB">
      <w:pPr>
        <w:spacing w:line="360" w:lineRule="auto"/>
        <w:ind w:firstLine="480" w:firstLineChars="200"/>
        <w:rPr>
          <w:rFonts w:ascii="宋体" w:hAnsi="宋体" w:eastAsia="宋体"/>
          <w:color w:val="000000"/>
          <w:sz w:val="24"/>
          <w:szCs w:val="24"/>
          <w:lang w:val="zh-TW" w:eastAsia="zh-TW" w:bidi="zh-TW"/>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2） 非密封工作场所的</w:t>
      </w:r>
      <w:r>
        <w:rPr>
          <w:rFonts w:hint="eastAsia" w:ascii="宋体" w:hAnsi="宋体" w:eastAsia="宋体"/>
          <w:color w:val="000000"/>
          <w:sz w:val="24"/>
          <w:szCs w:val="24"/>
          <w:lang w:val="zh-TW" w:eastAsia="zh-TW" w:bidi="zh-TW"/>
        </w:rPr>
        <w:t>γ</w:t>
      </w:r>
      <w:r>
        <w:rPr>
          <w:rFonts w:ascii="宋体" w:hAnsi="宋体" w:eastAsia="宋体"/>
          <w:color w:val="000000"/>
          <w:sz w:val="24"/>
          <w:szCs w:val="24"/>
          <w:lang w:val="zh-TW" w:eastAsia="zh-TW" w:bidi="zh-TW"/>
        </w:rPr>
        <w:t>辐射空气吸收剂量率、a、</w:t>
      </w:r>
      <w:r>
        <w:rPr>
          <w:rFonts w:hint="eastAsia" w:ascii="宋体" w:hAnsi="宋体" w:eastAsia="宋体"/>
          <w:color w:val="000000"/>
          <w:sz w:val="24"/>
          <w:szCs w:val="24"/>
          <w:lang w:val="zh-TW" w:eastAsia="zh-TW" w:bidi="zh-TW"/>
        </w:rPr>
        <w:t>β</w:t>
      </w:r>
      <w:r>
        <w:rPr>
          <w:rFonts w:ascii="宋体" w:hAnsi="宋体" w:eastAsia="宋体"/>
          <w:color w:val="000000"/>
          <w:sz w:val="24"/>
          <w:szCs w:val="24"/>
          <w:lang w:val="zh-TW" w:eastAsia="zh-TW" w:bidi="zh-TW"/>
        </w:rPr>
        <w:t>表面污染监测。</w:t>
      </w:r>
    </w:p>
    <w:p w14:paraId="2DD447DF">
      <w:pPr>
        <w:spacing w:line="360" w:lineRule="auto"/>
        <w:ind w:firstLine="480" w:firstLineChars="200"/>
        <w:rPr>
          <w:rFonts w:ascii="宋体" w:hAnsi="宋体" w:eastAsia="宋体"/>
          <w:color w:val="000000"/>
          <w:sz w:val="24"/>
          <w:szCs w:val="24"/>
          <w:lang w:val="zh-TW" w:eastAsia="zh-TW" w:bidi="zh-TW"/>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3） 放射源设备机房外</w:t>
      </w:r>
      <w:r>
        <w:rPr>
          <w:rFonts w:hint="eastAsia" w:ascii="宋体" w:hAnsi="宋体" w:eastAsia="宋体"/>
          <w:color w:val="000000"/>
          <w:sz w:val="24"/>
          <w:szCs w:val="24"/>
          <w:lang w:val="zh-TW" w:eastAsia="zh-TW" w:bidi="zh-TW"/>
        </w:rPr>
        <w:t>及放射源表面</w:t>
      </w:r>
      <w:r>
        <w:rPr>
          <w:rFonts w:ascii="宋体" w:hAnsi="宋体" w:eastAsia="宋体"/>
          <w:color w:val="000000"/>
          <w:sz w:val="24"/>
          <w:szCs w:val="24"/>
          <w:lang w:val="zh-TW" w:eastAsia="zh-TW" w:bidi="zh-TW"/>
        </w:rPr>
        <w:t>的</w:t>
      </w:r>
      <w:r>
        <w:rPr>
          <w:rFonts w:hint="eastAsia" w:ascii="宋体" w:hAnsi="宋体" w:eastAsia="宋体"/>
          <w:color w:val="000000"/>
          <w:sz w:val="24"/>
          <w:szCs w:val="24"/>
          <w:lang w:val="zh-TW" w:eastAsia="zh-TW" w:bidi="zh-TW"/>
        </w:rPr>
        <w:t>γ</w:t>
      </w:r>
      <w:r>
        <w:rPr>
          <w:rFonts w:ascii="宋体" w:hAnsi="宋体" w:eastAsia="宋体"/>
          <w:color w:val="000000"/>
          <w:sz w:val="24"/>
          <w:szCs w:val="24"/>
          <w:lang w:val="zh-TW" w:eastAsia="zh-TW" w:bidi="zh-TW"/>
        </w:rPr>
        <w:t xml:space="preserve"> 辐射空气吸收剂量率。</w:t>
      </w:r>
    </w:p>
    <w:p w14:paraId="1577AFBB">
      <w:pPr>
        <w:pStyle w:val="2"/>
        <w:spacing w:line="360" w:lineRule="auto"/>
        <w:ind w:firstLine="480" w:firstLineChars="200"/>
        <w:rPr>
          <w:rFonts w:ascii="宋体" w:hAnsi="宋体" w:cs="宋体"/>
          <w:color w:val="000000"/>
          <w:sz w:val="24"/>
          <w:szCs w:val="24"/>
          <w:lang w:bidi="zh-TW"/>
        </w:rPr>
      </w:pPr>
      <w:r>
        <w:rPr>
          <w:rFonts w:ascii="宋体" w:hAnsi="宋体" w:cs="宋体"/>
          <w:color w:val="000000"/>
          <w:sz w:val="24"/>
          <w:szCs w:val="24"/>
          <w:lang w:bidi="zh-TW"/>
        </w:rPr>
        <w:t>2</w:t>
      </w:r>
      <w:r>
        <w:rPr>
          <w:rFonts w:hint="eastAsia" w:ascii="宋体" w:hAnsi="宋体" w:cs="宋体"/>
          <w:color w:val="000000"/>
          <w:sz w:val="24"/>
          <w:szCs w:val="24"/>
          <w:lang w:bidi="zh-TW"/>
        </w:rPr>
        <w:t>、监测依据标准</w:t>
      </w:r>
    </w:p>
    <w:p w14:paraId="659DE323">
      <w:pPr>
        <w:spacing w:line="360" w:lineRule="auto"/>
        <w:ind w:firstLine="480" w:firstLineChars="200"/>
        <w:rPr>
          <w:rFonts w:ascii="宋体" w:hAnsi="宋体" w:eastAsia="宋体"/>
          <w:sz w:val="24"/>
          <w:szCs w:val="24"/>
        </w:rPr>
      </w:pPr>
      <w:r>
        <w:rPr>
          <w:rFonts w:hint="eastAsia" w:ascii="宋体" w:hAnsi="宋体" w:eastAsia="宋体"/>
          <w:sz w:val="24"/>
          <w:szCs w:val="24"/>
        </w:rPr>
        <w:t>根据《电离辐射防护与辐射源安全基本标准》（GB18871-2002）和《辐射环境监测技术规范》（HJ/T61-2001）的要求，放射性同位素和射线装置使用单位应当开展辐射环境监测。</w:t>
      </w:r>
    </w:p>
    <w:p w14:paraId="7246EB15">
      <w:pPr>
        <w:spacing w:line="360" w:lineRule="auto"/>
        <w:ind w:left="315" w:leftChars="150" w:firstLine="120" w:firstLineChars="50"/>
        <w:rPr>
          <w:rFonts w:ascii="宋体" w:hAnsi="宋体" w:eastAsia="宋体"/>
          <w:sz w:val="24"/>
          <w:szCs w:val="24"/>
        </w:rPr>
      </w:pPr>
      <w:r>
        <w:rPr>
          <w:rFonts w:hint="eastAsia" w:ascii="宋体" w:hAnsi="宋体" w:eastAsia="宋体"/>
          <w:sz w:val="24"/>
          <w:szCs w:val="24"/>
        </w:rPr>
        <w:t>监测方法、标准、依据包括但不限于：</w:t>
      </w:r>
    </w:p>
    <w:p w14:paraId="7F53D9DA">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《环境γ辐射剂量率测量技术规范》（</w:t>
      </w:r>
      <w:r>
        <w:rPr>
          <w:rFonts w:ascii="宋体" w:hAnsi="宋体" w:eastAsia="宋体"/>
          <w:color w:val="000000"/>
          <w:sz w:val="24"/>
          <w:szCs w:val="24"/>
        </w:rPr>
        <w:t>HJ 1157-2021 ）</w:t>
      </w:r>
    </w:p>
    <w:p w14:paraId="284EB320">
      <w:pPr>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《表面污染测定  第1部分：β发射体（Eβmax＞0.15MeV）和α发射体》GB/T 14056.1-2008</w:t>
      </w:r>
    </w:p>
    <w:p w14:paraId="4983439D">
      <w:pPr>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《放射诊断放射防护要求》（GBZ130-2020）</w:t>
      </w:r>
    </w:p>
    <w:p w14:paraId="55D3002B">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《放射治疗机房的辐射屏蔽规范第2部分：电子直线加速器放射治疗机房》（GBZ/T 201.2-2011）</w:t>
      </w:r>
    </w:p>
    <w:p w14:paraId="047EF420">
      <w:pPr>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《电离辐射防护与辐射源安全基本标准》（GB18871-2002）</w:t>
      </w:r>
    </w:p>
    <w:p w14:paraId="4921D35A">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《放射治疗放射防护要求》（G</w:t>
      </w:r>
      <w:r>
        <w:rPr>
          <w:rFonts w:ascii="宋体" w:hAnsi="宋体" w:eastAsia="宋体"/>
          <w:color w:val="000000"/>
          <w:sz w:val="24"/>
          <w:szCs w:val="24"/>
        </w:rPr>
        <w:t>BZ 121-2020</w:t>
      </w:r>
      <w:r>
        <w:rPr>
          <w:rFonts w:hint="eastAsia" w:ascii="宋体" w:hAnsi="宋体" w:eastAsia="宋体"/>
          <w:color w:val="000000"/>
          <w:sz w:val="24"/>
          <w:szCs w:val="24"/>
        </w:rPr>
        <w:t>）</w:t>
      </w:r>
    </w:p>
    <w:p w14:paraId="063B2FEF">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《密封放射源及密封γ放射源容器的放射卫生防护标准》（G</w:t>
      </w:r>
      <w:r>
        <w:rPr>
          <w:rFonts w:ascii="宋体" w:hAnsi="宋体" w:eastAsia="宋体"/>
          <w:color w:val="000000"/>
          <w:sz w:val="24"/>
          <w:szCs w:val="24"/>
        </w:rPr>
        <w:t>BZ114-2006</w:t>
      </w:r>
      <w:r>
        <w:rPr>
          <w:rFonts w:hint="eastAsia" w:ascii="宋体" w:hAnsi="宋体" w:eastAsia="宋体"/>
          <w:color w:val="000000"/>
          <w:sz w:val="24"/>
          <w:szCs w:val="24"/>
        </w:rPr>
        <w:t>）</w:t>
      </w:r>
    </w:p>
    <w:p w14:paraId="36A54AC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《放射治疗机房的辐射屏蔽规范第3部分：γ射线源放射治疗机房》（GBZ/T201.3-2014）</w:t>
      </w:r>
    </w:p>
    <w:p w14:paraId="791ACB2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《放射治疗辐射安全与防护要求》（HJ 1198-2021）</w:t>
      </w:r>
    </w:p>
    <w:p w14:paraId="1785399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《核医学辐射防护与安全要求》（HJ1188-2021）</w:t>
      </w:r>
    </w:p>
    <w:p w14:paraId="4A461827">
      <w:pPr>
        <w:spacing w:line="360" w:lineRule="auto"/>
        <w:ind w:firstLine="480" w:firstLineChars="200"/>
        <w:rPr>
          <w:rFonts w:ascii="宋体" w:hAnsi="宋体" w:eastAsia="宋体"/>
          <w:color w:val="000000"/>
          <w:sz w:val="24"/>
          <w:szCs w:val="24"/>
          <w:lang w:val="zh-TW" w:eastAsia="zh-TW" w:bidi="zh-TW"/>
        </w:rPr>
      </w:pPr>
      <w:r>
        <w:rPr>
          <w:rFonts w:ascii="宋体" w:hAnsi="宋体" w:eastAsia="宋体"/>
          <w:color w:val="000000"/>
          <w:sz w:val="24"/>
          <w:szCs w:val="24"/>
          <w:lang w:val="zh-TW" w:eastAsia="zh-TW" w:bidi="zh-TW"/>
        </w:rPr>
        <w:t>3</w:t>
      </w:r>
      <w:r>
        <w:rPr>
          <w:rFonts w:hint="eastAsia" w:ascii="宋体" w:hAnsi="宋体" w:eastAsia="宋体"/>
          <w:color w:val="000000"/>
          <w:sz w:val="24"/>
          <w:szCs w:val="24"/>
          <w:lang w:val="zh-TW" w:bidi="zh-TW"/>
        </w:rPr>
        <w:t>、</w:t>
      </w:r>
      <w:r>
        <w:rPr>
          <w:rFonts w:ascii="宋体" w:hAnsi="宋体" w:eastAsia="宋体"/>
          <w:color w:val="000000"/>
          <w:sz w:val="24"/>
          <w:szCs w:val="24"/>
          <w:lang w:val="zh-TW" w:eastAsia="zh-TW" w:bidi="zh-TW"/>
        </w:rPr>
        <w:t>监测布点</w:t>
      </w:r>
    </w:p>
    <w:p w14:paraId="5C8E9B3E">
      <w:pPr>
        <w:spacing w:line="360" w:lineRule="auto"/>
        <w:ind w:firstLine="480" w:firstLineChars="200"/>
        <w:rPr>
          <w:rFonts w:ascii="宋体" w:hAnsi="宋体" w:eastAsia="宋体"/>
          <w:color w:val="000000"/>
          <w:sz w:val="24"/>
          <w:szCs w:val="24"/>
          <w:lang w:val="zh-TW" w:eastAsia="zh-TW" w:bidi="zh-TW"/>
        </w:rPr>
      </w:pPr>
      <w:r>
        <w:rPr>
          <w:rFonts w:hint="eastAsia" w:ascii="宋体" w:hAnsi="宋体" w:eastAsia="宋体"/>
          <w:color w:val="000000"/>
          <w:sz w:val="24"/>
          <w:szCs w:val="24"/>
          <w:lang w:val="zh-TW" w:bidi="zh-TW"/>
        </w:rPr>
        <w:t>根据现场实际情况制定检测方案，检测方案应依据相应的法律法规及要求规范。监测布点应包含</w:t>
      </w:r>
      <w:r>
        <w:rPr>
          <w:rFonts w:hint="eastAsia" w:ascii="宋体" w:hAnsi="宋体" w:eastAsia="宋体"/>
          <w:color w:val="000000"/>
          <w:sz w:val="24"/>
          <w:szCs w:val="24"/>
          <w:lang w:val="zh-TW" w:eastAsia="zh-TW" w:bidi="zh-TW"/>
        </w:rPr>
        <w:t>但不限于：环境本底、机房四周墙体、机房防护门、操作室防护门、操作室观察窗、操作室管线洞口、患者等待区、机房楼上楼下、走廊地面、分装厨表面、贮存室地面、注射室工作台表面、候诊室地面和候诊人员接触物体表面、注射后患者专用卫生间地面、暂存库等</w:t>
      </w:r>
      <w:r>
        <w:rPr>
          <w:rFonts w:hint="eastAsia" w:ascii="宋体" w:hAnsi="宋体" w:eastAsia="宋体"/>
          <w:color w:val="000000"/>
          <w:sz w:val="24"/>
          <w:szCs w:val="24"/>
          <w:lang w:val="zh-TW" w:bidi="zh-TW"/>
        </w:rPr>
        <w:t>。</w:t>
      </w:r>
    </w:p>
    <w:p w14:paraId="2DF6A35E">
      <w:pPr>
        <w:spacing w:line="360" w:lineRule="auto"/>
        <w:rPr>
          <w:rFonts w:ascii="宋体" w:hAnsi="宋体" w:eastAsia="宋体"/>
          <w:b/>
          <w:sz w:val="24"/>
          <w:szCs w:val="24"/>
        </w:rPr>
      </w:pPr>
      <w:r>
        <w:rPr>
          <w:rFonts w:hint="eastAsia" w:ascii="宋体" w:hAnsi="宋体" w:eastAsia="宋体"/>
          <w:b/>
          <w:sz w:val="24"/>
          <w:szCs w:val="24"/>
        </w:rPr>
        <w:t>三、服务要求</w:t>
      </w:r>
    </w:p>
    <w:p w14:paraId="075CA202">
      <w:pPr>
        <w:spacing w:line="360" w:lineRule="auto"/>
        <w:ind w:firstLine="480" w:firstLineChars="200"/>
        <w:rPr>
          <w:rFonts w:ascii="宋体" w:hAnsi="宋体" w:eastAsia="宋体"/>
          <w:b/>
          <w:bCs/>
          <w:sz w:val="24"/>
          <w:szCs w:val="24"/>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1）</w:t>
      </w:r>
      <w:r>
        <w:rPr>
          <w:rFonts w:hint="eastAsia" w:ascii="宋体" w:hAnsi="宋体" w:eastAsia="宋体"/>
          <w:sz w:val="24"/>
          <w:szCs w:val="24"/>
        </w:rPr>
        <w:t>检测结果以周围剂量当量率给出。最终数值与标准限值进行比较，</w:t>
      </w:r>
      <w:r>
        <w:rPr>
          <w:rFonts w:ascii="宋体" w:hAnsi="宋体" w:eastAsia="宋体"/>
          <w:color w:val="000000"/>
          <w:sz w:val="24"/>
          <w:szCs w:val="24"/>
        </w:rPr>
        <w:t>最终为采购方提供符合相关法律法规、技术标准要求的报告。</w:t>
      </w:r>
    </w:p>
    <w:p w14:paraId="5410B19C">
      <w:pPr>
        <w:spacing w:line="360" w:lineRule="auto"/>
        <w:ind w:firstLine="420"/>
        <w:rPr>
          <w:rFonts w:ascii="宋体" w:hAnsi="宋体" w:eastAsia="宋体"/>
          <w:sz w:val="24"/>
          <w:szCs w:val="24"/>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2）</w:t>
      </w:r>
      <w:r>
        <w:rPr>
          <w:rFonts w:hint="eastAsia" w:ascii="宋体" w:hAnsi="宋体" w:eastAsia="宋体"/>
          <w:sz w:val="24"/>
          <w:szCs w:val="24"/>
        </w:rPr>
        <w:t>出具的监测报告具有CMA资质，报告通过专家验收审核修改后，提交完成本报告。</w:t>
      </w:r>
    </w:p>
    <w:p w14:paraId="2136815F">
      <w:pPr>
        <w:spacing w:line="360" w:lineRule="auto"/>
        <w:ind w:firstLine="420"/>
        <w:rPr>
          <w:rFonts w:ascii="宋体" w:hAnsi="宋体" w:eastAsia="宋体"/>
          <w:sz w:val="24"/>
          <w:szCs w:val="24"/>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3）</w:t>
      </w:r>
      <w:r>
        <w:rPr>
          <w:rFonts w:hint="eastAsia" w:ascii="宋体" w:hAnsi="宋体" w:eastAsia="宋体"/>
          <w:sz w:val="24"/>
          <w:szCs w:val="24"/>
        </w:rPr>
        <w:t>项目填写的原始记录满足质控要求，监测记录内容全面、准确、清晰、及时，真实反映工作全过程，数据处理后报出的报告中数据均来源于原始记录范围中。</w:t>
      </w:r>
    </w:p>
    <w:p w14:paraId="4D2E8ABF">
      <w:pPr>
        <w:spacing w:line="360" w:lineRule="auto"/>
        <w:ind w:firstLine="420"/>
        <w:rPr>
          <w:rFonts w:ascii="宋体" w:hAnsi="宋体" w:eastAsia="宋体"/>
          <w:sz w:val="24"/>
          <w:szCs w:val="24"/>
        </w:rPr>
      </w:pPr>
      <w:r>
        <w:rPr>
          <w:rFonts w:hint="eastAsia" w:ascii="宋体" w:hAnsi="宋体" w:eastAsia="宋体"/>
          <w:color w:val="000000"/>
          <w:sz w:val="24"/>
          <w:szCs w:val="24"/>
          <w:lang w:val="zh-TW" w:eastAsia="zh-TW" w:bidi="zh-TW"/>
        </w:rPr>
        <w:t>（</w:t>
      </w:r>
      <w:r>
        <w:rPr>
          <w:rFonts w:ascii="宋体" w:hAnsi="宋体" w:eastAsia="宋体"/>
          <w:color w:val="000000"/>
          <w:sz w:val="24"/>
          <w:szCs w:val="24"/>
          <w:lang w:val="zh-TW" w:eastAsia="zh-TW" w:bidi="zh-TW"/>
        </w:rPr>
        <w:t>4）</w:t>
      </w:r>
      <w:r>
        <w:rPr>
          <w:rFonts w:hint="eastAsia" w:ascii="宋体" w:hAnsi="宋体" w:eastAsia="宋体"/>
          <w:sz w:val="24"/>
          <w:szCs w:val="24"/>
        </w:rPr>
        <w:t>采集数据和报告按本项目质量控制要求经三级审核后报出。</w:t>
      </w:r>
    </w:p>
    <w:p w14:paraId="712853B2">
      <w:pPr>
        <w:spacing w:line="360" w:lineRule="auto"/>
        <w:ind w:firstLine="420"/>
        <w:rPr>
          <w:rFonts w:hint="eastAsia" w:ascii="宋体" w:hAnsi="宋体" w:eastAsia="宋体"/>
          <w:sz w:val="24"/>
          <w:szCs w:val="24"/>
        </w:rPr>
      </w:pPr>
      <w:r>
        <w:rPr>
          <w:rFonts w:hint="eastAsia" w:ascii="宋体" w:hAnsi="宋体" w:eastAsia="宋体"/>
          <w:sz w:val="24"/>
          <w:szCs w:val="24"/>
        </w:rPr>
        <w:t>（5）检测报告因提出质疑需要重新监测的，须在收到通知后1</w:t>
      </w:r>
      <w:r>
        <w:rPr>
          <w:rFonts w:ascii="宋体" w:hAnsi="宋体" w:eastAsia="宋体"/>
          <w:sz w:val="24"/>
          <w:szCs w:val="24"/>
        </w:rPr>
        <w:t>2</w:t>
      </w:r>
      <w:r>
        <w:rPr>
          <w:rFonts w:hint="eastAsia" w:ascii="宋体" w:hAnsi="宋体" w:eastAsia="宋体"/>
          <w:sz w:val="24"/>
          <w:szCs w:val="24"/>
        </w:rPr>
        <w:t>小时进行二次监测。</w:t>
      </w:r>
    </w:p>
    <w:p w14:paraId="0F4DC192">
      <w:pPr>
        <w:spacing w:line="360" w:lineRule="auto"/>
        <w:ind w:firstLine="480" w:firstLineChars="200"/>
        <w:rPr>
          <w:rFonts w:hint="eastAsia" w:ascii="宋体" w:hAnsi="宋体" w:eastAsia="宋体"/>
          <w:color w:val="000000"/>
          <w:sz w:val="24"/>
          <w:szCs w:val="24"/>
          <w:lang w:eastAsia="zh-TW" w:bidi="zh-TW"/>
        </w:rPr>
      </w:pPr>
    </w:p>
    <w:p w14:paraId="58F5B17B">
      <w:pPr>
        <w:spacing w:line="360" w:lineRule="auto"/>
        <w:rPr>
          <w:rFonts w:hint="eastAsia" w:ascii="宋体" w:hAnsi="宋体" w:eastAsia="宋体"/>
          <w:color w:val="000000"/>
          <w:sz w:val="24"/>
          <w:szCs w:val="24"/>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59"/>
    <w:rsid w:val="000B1959"/>
    <w:rsid w:val="002F0ABC"/>
    <w:rsid w:val="00393961"/>
    <w:rsid w:val="0065006B"/>
    <w:rsid w:val="00940938"/>
    <w:rsid w:val="247D647B"/>
    <w:rsid w:val="6871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unhideWhenUsed/>
    <w:qFormat/>
    <w:uiPriority w:val="99"/>
    <w:pPr>
      <w:spacing w:after="120"/>
    </w:pPr>
    <w:rPr>
      <w:rFonts w:ascii="Times New Roman" w:hAnsi="Times New Roman" w:eastAsia="宋体" w:cs="Times New Roman"/>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正文文本 字符"/>
    <w:basedOn w:val="5"/>
    <w:link w:val="2"/>
    <w:semiHidden/>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1435</Words>
  <Characters>1637</Characters>
  <Lines>12</Lines>
  <Paragraphs>3</Paragraphs>
  <TotalTime>25</TotalTime>
  <ScaleCrop>false</ScaleCrop>
  <LinksUpToDate>false</LinksUpToDate>
  <CharactersWithSpaces>1660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2025-09-15T07:35:00Z</dcterms:created>
  <dc:creator>YyY</dc:creator>
  <cp:lastModifiedBy>韩啸</cp:lastModifiedBy>
  <dcterms:modified xsi:type="dcterms:W3CDTF">2025-09-15T08:33:10Z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eyJoZGlkIjoiYWY4ZTQ1ODY3MDYwMDAzZjYzOGEzNjQ1YzU1MzE0N2QiLCJ1c2VySWQiOiI0NTIyNDYyNjYifQ==</vt:lpwstr>
  </property>
  <property fmtid="{D5CDD505-2E9C-101B-9397-08002B2CF9AE}" pid="3" name="KSOProductBuildVer">
    <vt:lpwstr>2052-12.1.0.21915</vt:lpwstr>
  </property>
  <property fmtid="{D5CDD505-2E9C-101B-9397-08002B2CF9AE}" pid="4" name="ICV">
    <vt:lpwstr>CBA111C96B5C4F3F9BF62A6E1515D908_12</vt:lpwstr>
  </property>
</Properties>
</file>